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BB3D" w14:textId="459CCA90" w:rsidR="00245CD1" w:rsidRPr="00245CD1" w:rsidRDefault="00245CD1" w:rsidP="00245CD1">
      <w:pPr>
        <w:rPr>
          <w:b/>
          <w:bCs/>
          <w:color w:val="00B05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720"/>
        <w:gridCol w:w="720"/>
        <w:gridCol w:w="805"/>
      </w:tblGrid>
      <w:tr w:rsidR="001555AA" w14:paraId="59CE51E6" w14:textId="77777777" w:rsidTr="577789A3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6D651472" w14:textId="7D84798F" w:rsidR="001555AA" w:rsidRPr="007F36F6" w:rsidRDefault="003228C5" w:rsidP="001555AA">
            <w:pPr>
              <w:spacing w:before="120" w:after="120"/>
              <w:rPr>
                <w:noProof/>
                <w:color w:val="C45911" w:themeColor="accent2" w:themeShade="BF"/>
              </w:rPr>
            </w:pPr>
            <w:r>
              <w:rPr>
                <w:i/>
                <w:iCs/>
                <w:color w:val="FFFFFF" w:themeColor="background1"/>
              </w:rPr>
              <w:t>For many students, t</w:t>
            </w:r>
            <w:r w:rsidR="007B7E91">
              <w:rPr>
                <w:i/>
                <w:iCs/>
                <w:color w:val="FFFFFF" w:themeColor="background1"/>
              </w:rPr>
              <w:t xml:space="preserve">he road to credential attainment is often filled with academic, financial and personal </w:t>
            </w:r>
            <w:r w:rsidR="00885BE6">
              <w:rPr>
                <w:i/>
                <w:iCs/>
                <w:color w:val="FFFFFF" w:themeColor="background1"/>
              </w:rPr>
              <w:t>challenges that can be barriers to success</w:t>
            </w:r>
            <w:r w:rsidR="001555AA" w:rsidRPr="001555AA">
              <w:rPr>
                <w:i/>
                <w:iCs/>
                <w:color w:val="FFFFFF" w:themeColor="background1"/>
              </w:rPr>
              <w:t>.</w:t>
            </w:r>
            <w:r w:rsidR="00C03339">
              <w:rPr>
                <w:i/>
                <w:iCs/>
                <w:color w:val="FFFFFF" w:themeColor="background1"/>
              </w:rPr>
              <w:t xml:space="preserve"> Providing support services for students</w:t>
            </w:r>
            <w:r w:rsidR="00D40C27">
              <w:rPr>
                <w:i/>
                <w:iCs/>
                <w:color w:val="FFFFFF" w:themeColor="background1"/>
              </w:rPr>
              <w:t xml:space="preserve"> </w:t>
            </w:r>
            <w:r w:rsidR="00386463">
              <w:rPr>
                <w:i/>
                <w:iCs/>
                <w:color w:val="FFFFFF" w:themeColor="background1"/>
              </w:rPr>
              <w:t xml:space="preserve">can </w:t>
            </w:r>
            <w:r w:rsidR="007C6D5F">
              <w:rPr>
                <w:i/>
                <w:iCs/>
                <w:color w:val="FFFFFF" w:themeColor="background1"/>
              </w:rPr>
              <w:t xml:space="preserve">be </w:t>
            </w:r>
            <w:r w:rsidR="002623BC">
              <w:rPr>
                <w:i/>
                <w:iCs/>
                <w:color w:val="FFFFFF" w:themeColor="background1"/>
              </w:rPr>
              <w:t xml:space="preserve">the difference-maker in </w:t>
            </w:r>
            <w:r w:rsidR="00B17481">
              <w:rPr>
                <w:i/>
                <w:iCs/>
                <w:color w:val="FFFFFF" w:themeColor="background1"/>
              </w:rPr>
              <w:t xml:space="preserve">ensuring our community has the talent it needs </w:t>
            </w:r>
            <w:r w:rsidR="00371ED6">
              <w:rPr>
                <w:i/>
                <w:iCs/>
                <w:color w:val="FFFFFF" w:themeColor="background1"/>
              </w:rPr>
              <w:t>to meet workforce demands.</w:t>
            </w:r>
            <w:r w:rsidR="00C03339">
              <w:rPr>
                <w:i/>
                <w:iCs/>
                <w:color w:val="FFFFFF" w:themeColor="background1"/>
              </w:rPr>
              <w:t xml:space="preserve"> </w:t>
            </w:r>
          </w:p>
        </w:tc>
      </w:tr>
      <w:tr w:rsidR="001555AA" w14:paraId="7734D05C" w14:textId="77777777" w:rsidTr="577789A3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9C860C2" w14:textId="77777777" w:rsidR="001555AA" w:rsidRPr="007F36F6" w:rsidRDefault="001555AA" w:rsidP="003E25B4">
            <w:pPr>
              <w:rPr>
                <w:noProof/>
                <w:color w:val="C45911" w:themeColor="accent2" w:themeShade="BF"/>
              </w:rPr>
            </w:pPr>
          </w:p>
        </w:tc>
      </w:tr>
      <w:tr w:rsidR="00245CD1" w14:paraId="332AB515" w14:textId="77777777" w:rsidTr="577789A3">
        <w:tc>
          <w:tcPr>
            <w:tcW w:w="7105" w:type="dxa"/>
            <w:shd w:val="clear" w:color="auto" w:fill="00B050"/>
          </w:tcPr>
          <w:p w14:paraId="5B3DA11A" w14:textId="044E6E52" w:rsidR="00245CD1" w:rsidRPr="000E64A3" w:rsidRDefault="00DC51E7" w:rsidP="577789A3">
            <w:pPr>
              <w:spacing w:before="60"/>
            </w:pPr>
            <w:r w:rsidRPr="00DC51E7">
              <w:rPr>
                <w:b/>
                <w:bCs/>
                <w:color w:val="FFFFFF" w:themeColor="background1"/>
                <w:sz w:val="32"/>
                <w:szCs w:val="32"/>
              </w:rPr>
              <w:t>Supporting Completion Ch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e</w:t>
            </w:r>
            <w:r w:rsidRPr="00DC51E7">
              <w:rPr>
                <w:b/>
                <w:bCs/>
                <w:color w:val="FFFFFF" w:themeColor="background1"/>
                <w:sz w:val="32"/>
                <w:szCs w:val="32"/>
              </w:rPr>
              <w:t>ck-up</w:t>
            </w:r>
          </w:p>
        </w:tc>
        <w:tc>
          <w:tcPr>
            <w:tcW w:w="720" w:type="dxa"/>
          </w:tcPr>
          <w:p w14:paraId="665A3DC8" w14:textId="77777777" w:rsidR="00245CD1" w:rsidRDefault="00245CD1" w:rsidP="003E25B4">
            <w:pPr>
              <w:spacing w:before="120" w:after="12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8AE236" wp14:editId="5D14E371">
                  <wp:simplePos x="0" y="0"/>
                  <wp:positionH relativeFrom="column">
                    <wp:posOffset>-41398</wp:posOffset>
                  </wp:positionH>
                  <wp:positionV relativeFrom="paragraph">
                    <wp:posOffset>27940</wp:posOffset>
                  </wp:positionV>
                  <wp:extent cx="332740" cy="265471"/>
                  <wp:effectExtent l="0" t="0" r="0" b="1270"/>
                  <wp:wrapNone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82" r="52197" b="29123"/>
                          <a:stretch/>
                        </pic:blipFill>
                        <pic:spPr bwMode="auto">
                          <a:xfrm>
                            <a:off x="0" y="0"/>
                            <a:ext cx="332740" cy="265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2F010B9B" w14:textId="77777777" w:rsidR="00245CD1" w:rsidRDefault="00245CD1" w:rsidP="003E25B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5665E3D" wp14:editId="485A25B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20740</wp:posOffset>
                  </wp:positionV>
                  <wp:extent cx="340995" cy="272845"/>
                  <wp:effectExtent l="0" t="0" r="1905" b="0"/>
                  <wp:wrapNone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09" t="14458" b="29129"/>
                          <a:stretch/>
                        </pic:blipFill>
                        <pic:spPr bwMode="auto">
                          <a:xfrm>
                            <a:off x="0" y="0"/>
                            <a:ext cx="340995" cy="27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5" w:type="dxa"/>
          </w:tcPr>
          <w:p w14:paraId="56270D01" w14:textId="2B13D420" w:rsidR="00245CD1" w:rsidRDefault="00497F2C" w:rsidP="003E25B4">
            <w:r w:rsidRPr="007F36F6">
              <w:rPr>
                <w:noProof/>
                <w:color w:val="C45911" w:themeColor="accent2" w:themeShade="BF"/>
              </w:rPr>
              <w:drawing>
                <wp:anchor distT="0" distB="0" distL="114300" distR="114300" simplePos="0" relativeHeight="251659264" behindDoc="0" locked="0" layoutInCell="1" allowOverlap="1" wp14:anchorId="61CFA224" wp14:editId="41DC5A75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4655</wp:posOffset>
                  </wp:positionV>
                  <wp:extent cx="323215" cy="323215"/>
                  <wp:effectExtent l="0" t="0" r="635" b="635"/>
                  <wp:wrapNone/>
                  <wp:docPr id="6" name="Graphic 6" descr="Badge Question 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adge Question Mark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5CD1" w14:paraId="1DCD7DD4" w14:textId="77777777" w:rsidTr="577789A3">
        <w:tc>
          <w:tcPr>
            <w:tcW w:w="7105" w:type="dxa"/>
            <w:shd w:val="clear" w:color="auto" w:fill="D1FEC6"/>
          </w:tcPr>
          <w:p w14:paraId="180815D5" w14:textId="6D000F77" w:rsidR="00245CD1" w:rsidRPr="004576BF" w:rsidRDefault="0072371B" w:rsidP="004576BF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Our community/technical</w:t>
            </w:r>
            <w:r w:rsidR="005C3F5B" w:rsidRPr="004576BF">
              <w:rPr>
                <w:rFonts w:cstheme="minorHAnsi"/>
                <w:sz w:val="24"/>
                <w:szCs w:val="24"/>
              </w:rPr>
              <w:t xml:space="preserve"> college ha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5C3F5B" w:rsidRPr="004576BF">
              <w:rPr>
                <w:rFonts w:cstheme="minorHAnsi"/>
                <w:sz w:val="24"/>
                <w:szCs w:val="24"/>
              </w:rPr>
              <w:t xml:space="preserve"> a policy for </w:t>
            </w:r>
            <w:r>
              <w:rPr>
                <w:rFonts w:cstheme="minorHAnsi"/>
                <w:sz w:val="24"/>
                <w:szCs w:val="24"/>
              </w:rPr>
              <w:t xml:space="preserve">awarding </w:t>
            </w:r>
            <w:r w:rsidR="005C3F5B" w:rsidRPr="004576BF">
              <w:rPr>
                <w:rFonts w:cstheme="minorHAnsi"/>
                <w:sz w:val="24"/>
                <w:szCs w:val="24"/>
              </w:rPr>
              <w:t>credit for prior learning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5C3F5B" w:rsidRPr="004576B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093A43E8" w14:textId="77777777" w:rsidR="00245CD1" w:rsidRDefault="00245CD1" w:rsidP="003E25B4"/>
        </w:tc>
        <w:tc>
          <w:tcPr>
            <w:tcW w:w="720" w:type="dxa"/>
          </w:tcPr>
          <w:p w14:paraId="1B4BBF40" w14:textId="77777777" w:rsidR="00245CD1" w:rsidRDefault="00245CD1" w:rsidP="003E25B4"/>
        </w:tc>
        <w:tc>
          <w:tcPr>
            <w:tcW w:w="805" w:type="dxa"/>
          </w:tcPr>
          <w:p w14:paraId="43F4B4EB" w14:textId="77777777" w:rsidR="00245CD1" w:rsidRDefault="00245CD1" w:rsidP="003E25B4"/>
        </w:tc>
      </w:tr>
      <w:tr w:rsidR="008B0A1F" w14:paraId="054C8417" w14:textId="77777777" w:rsidTr="577789A3">
        <w:tc>
          <w:tcPr>
            <w:tcW w:w="7105" w:type="dxa"/>
            <w:shd w:val="clear" w:color="auto" w:fill="D1FEC6"/>
          </w:tcPr>
          <w:p w14:paraId="216E411B" w14:textId="4F6065A5" w:rsidR="008B0A1F" w:rsidRDefault="008B0A1F" w:rsidP="004576BF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4576BF">
              <w:rPr>
                <w:rFonts w:cstheme="minorHAnsi"/>
                <w:sz w:val="24"/>
                <w:szCs w:val="24"/>
              </w:rPr>
              <w:t xml:space="preserve">rticulation agreements </w:t>
            </w:r>
            <w:r>
              <w:rPr>
                <w:rFonts w:cstheme="minorHAnsi"/>
                <w:sz w:val="24"/>
                <w:szCs w:val="24"/>
              </w:rPr>
              <w:t xml:space="preserve">are </w:t>
            </w:r>
            <w:r w:rsidRPr="004576BF">
              <w:rPr>
                <w:rFonts w:cstheme="minorHAnsi"/>
                <w:sz w:val="24"/>
                <w:szCs w:val="24"/>
              </w:rPr>
              <w:t>in place to award credits earned through early college and dual-credit courses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1DC46354" w14:textId="77777777" w:rsidR="008B0A1F" w:rsidRDefault="008B0A1F" w:rsidP="003E25B4"/>
        </w:tc>
        <w:tc>
          <w:tcPr>
            <w:tcW w:w="720" w:type="dxa"/>
          </w:tcPr>
          <w:p w14:paraId="1223620A" w14:textId="77777777" w:rsidR="008B0A1F" w:rsidRDefault="008B0A1F" w:rsidP="003E25B4"/>
        </w:tc>
        <w:tc>
          <w:tcPr>
            <w:tcW w:w="805" w:type="dxa"/>
          </w:tcPr>
          <w:p w14:paraId="7274C8E9" w14:textId="77777777" w:rsidR="008B0A1F" w:rsidRDefault="008B0A1F" w:rsidP="003E25B4"/>
        </w:tc>
      </w:tr>
      <w:tr w:rsidR="00312A32" w14:paraId="40136049" w14:textId="77777777" w:rsidTr="577789A3">
        <w:tc>
          <w:tcPr>
            <w:tcW w:w="7105" w:type="dxa"/>
            <w:shd w:val="clear" w:color="auto" w:fill="D1FEC6"/>
          </w:tcPr>
          <w:p w14:paraId="3FCEE914" w14:textId="5CEE6EB9" w:rsidR="00312A32" w:rsidRPr="004576BF" w:rsidRDefault="0065143C" w:rsidP="004576BF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F</w:t>
            </w:r>
            <w:r w:rsidR="00312A32" w:rsidRPr="004576BF"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aculty </w:t>
            </w:r>
            <w:r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are </w:t>
            </w:r>
            <w:r w:rsidR="00312A32" w:rsidRPr="004576BF"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aware of noncredit training offered at </w:t>
            </w:r>
            <w:r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our college</w:t>
            </w:r>
            <w:r w:rsidR="00312A32" w:rsidRPr="004576BF"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related to their program area</w:t>
            </w:r>
            <w:r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r w:rsidR="00312A32" w:rsidRPr="004576BF"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s</w:t>
            </w:r>
            <w:r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).</w:t>
            </w:r>
            <w:r w:rsidR="00312A32" w:rsidRPr="004576BF"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720" w:type="dxa"/>
          </w:tcPr>
          <w:p w14:paraId="7FD068BF" w14:textId="77777777" w:rsidR="00312A32" w:rsidRDefault="00312A32" w:rsidP="003E25B4"/>
        </w:tc>
        <w:tc>
          <w:tcPr>
            <w:tcW w:w="720" w:type="dxa"/>
          </w:tcPr>
          <w:p w14:paraId="794F6856" w14:textId="77777777" w:rsidR="00312A32" w:rsidRDefault="00312A32" w:rsidP="003E25B4"/>
        </w:tc>
        <w:tc>
          <w:tcPr>
            <w:tcW w:w="805" w:type="dxa"/>
          </w:tcPr>
          <w:p w14:paraId="76629C4E" w14:textId="77777777" w:rsidR="00312A32" w:rsidRDefault="00312A32" w:rsidP="003E25B4"/>
        </w:tc>
      </w:tr>
      <w:tr w:rsidR="00312A32" w14:paraId="2136EA78" w14:textId="77777777" w:rsidTr="577789A3">
        <w:tc>
          <w:tcPr>
            <w:tcW w:w="7105" w:type="dxa"/>
            <w:shd w:val="clear" w:color="auto" w:fill="D1FEC6"/>
          </w:tcPr>
          <w:p w14:paraId="63ECA49F" w14:textId="62E947D0" w:rsidR="00312A32" w:rsidRPr="004576BF" w:rsidRDefault="00985369" w:rsidP="004576BF">
            <w:pPr>
              <w:spacing w:before="120" w:after="120"/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</w:pPr>
            <w:r w:rsidRPr="00985369"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A standard process is used to crosswalk learning outcomes from noncredit courses (offered by our college) and industry certifications to </w:t>
            </w:r>
            <w:r w:rsidR="006B120A"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credit-bearing</w:t>
            </w:r>
            <w:r w:rsidRPr="00985369">
              <w:rPr>
                <w:rStyle w:val="normaltextru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courses.</w:t>
            </w:r>
          </w:p>
        </w:tc>
        <w:tc>
          <w:tcPr>
            <w:tcW w:w="720" w:type="dxa"/>
          </w:tcPr>
          <w:p w14:paraId="087461AC" w14:textId="77777777" w:rsidR="00312A32" w:rsidRDefault="00312A32" w:rsidP="003E25B4"/>
        </w:tc>
        <w:tc>
          <w:tcPr>
            <w:tcW w:w="720" w:type="dxa"/>
          </w:tcPr>
          <w:p w14:paraId="73D3CB43" w14:textId="77777777" w:rsidR="00312A32" w:rsidRDefault="00312A32" w:rsidP="003E25B4"/>
        </w:tc>
        <w:tc>
          <w:tcPr>
            <w:tcW w:w="805" w:type="dxa"/>
          </w:tcPr>
          <w:p w14:paraId="1F29C9FE" w14:textId="77777777" w:rsidR="00312A32" w:rsidRDefault="00312A32" w:rsidP="003E25B4"/>
        </w:tc>
      </w:tr>
      <w:tr w:rsidR="00245CD1" w14:paraId="72A20A95" w14:textId="77777777" w:rsidTr="577789A3">
        <w:tc>
          <w:tcPr>
            <w:tcW w:w="7105" w:type="dxa"/>
            <w:shd w:val="clear" w:color="auto" w:fill="D1FEC6"/>
          </w:tcPr>
          <w:p w14:paraId="29C61653" w14:textId="40FDE9CB" w:rsidR="00245CD1" w:rsidRPr="004576BF" w:rsidRDefault="00483642" w:rsidP="004576B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0C7464" w:rsidRPr="004576BF">
              <w:rPr>
                <w:rFonts w:cstheme="minorHAnsi"/>
                <w:sz w:val="24"/>
                <w:szCs w:val="24"/>
              </w:rPr>
              <w:t xml:space="preserve">n </w:t>
            </w:r>
            <w:r w:rsidR="004C730F">
              <w:rPr>
                <w:rFonts w:cstheme="minorHAnsi"/>
                <w:sz w:val="24"/>
                <w:szCs w:val="24"/>
              </w:rPr>
              <w:t xml:space="preserve">internal </w:t>
            </w:r>
            <w:r w:rsidR="000C7464" w:rsidRPr="004576BF">
              <w:rPr>
                <w:rFonts w:cstheme="minorHAnsi"/>
                <w:sz w:val="24"/>
                <w:szCs w:val="24"/>
              </w:rPr>
              <w:t xml:space="preserve">articulation policy or procedure </w:t>
            </w:r>
            <w:r>
              <w:rPr>
                <w:rFonts w:cstheme="minorHAnsi"/>
                <w:sz w:val="24"/>
                <w:szCs w:val="24"/>
              </w:rPr>
              <w:t>i</w:t>
            </w:r>
            <w:r>
              <w:t xml:space="preserve">s </w:t>
            </w:r>
            <w:r w:rsidR="000C7464" w:rsidRPr="004576BF">
              <w:rPr>
                <w:rFonts w:cstheme="minorHAnsi"/>
                <w:sz w:val="24"/>
                <w:szCs w:val="24"/>
              </w:rPr>
              <w:t xml:space="preserve">in place between noncredit and credit divisions that </w:t>
            </w:r>
            <w:proofErr w:type="gramStart"/>
            <w:r w:rsidR="000C7464" w:rsidRPr="004576BF">
              <w:rPr>
                <w:rFonts w:cstheme="minorHAnsi"/>
                <w:sz w:val="24"/>
                <w:szCs w:val="24"/>
              </w:rPr>
              <w:t>provides</w:t>
            </w:r>
            <w:proofErr w:type="gramEnd"/>
            <w:r w:rsidR="000C7464" w:rsidRPr="004576BF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0C7464" w:rsidRPr="004576BF">
              <w:rPr>
                <w:rFonts w:cstheme="minorHAnsi"/>
                <w:sz w:val="24"/>
                <w:szCs w:val="24"/>
              </w:rPr>
              <w:t>students</w:t>
            </w:r>
            <w:proofErr w:type="gramEnd"/>
            <w:r w:rsidR="000C7464" w:rsidRPr="004576BF">
              <w:rPr>
                <w:rFonts w:cstheme="minorHAnsi"/>
                <w:sz w:val="24"/>
                <w:szCs w:val="24"/>
              </w:rPr>
              <w:t xml:space="preserve"> the opportunity and guidance to avoid duplicative coursework and accelerate their accumulation of credentials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2F5332F0" w14:textId="77777777" w:rsidR="00245CD1" w:rsidRDefault="00245CD1" w:rsidP="003E25B4"/>
        </w:tc>
        <w:tc>
          <w:tcPr>
            <w:tcW w:w="720" w:type="dxa"/>
          </w:tcPr>
          <w:p w14:paraId="25D5F14A" w14:textId="77777777" w:rsidR="00245CD1" w:rsidRDefault="00245CD1" w:rsidP="003E25B4"/>
        </w:tc>
        <w:tc>
          <w:tcPr>
            <w:tcW w:w="805" w:type="dxa"/>
          </w:tcPr>
          <w:p w14:paraId="1B965E08" w14:textId="77777777" w:rsidR="00245CD1" w:rsidRDefault="00245CD1" w:rsidP="003E25B4"/>
        </w:tc>
      </w:tr>
      <w:tr w:rsidR="00245CD1" w14:paraId="0817BE63" w14:textId="77777777" w:rsidTr="577789A3">
        <w:tc>
          <w:tcPr>
            <w:tcW w:w="7105" w:type="dxa"/>
            <w:shd w:val="clear" w:color="auto" w:fill="D1FEC6"/>
          </w:tcPr>
          <w:p w14:paraId="4D7CE060" w14:textId="4B169789" w:rsidR="00245CD1" w:rsidRPr="004576BF" w:rsidRDefault="00483642" w:rsidP="004576BF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FC3CD5" w:rsidRPr="004576BF">
              <w:rPr>
                <w:rFonts w:cstheme="minorHAnsi"/>
                <w:sz w:val="24"/>
                <w:szCs w:val="24"/>
              </w:rPr>
              <w:t xml:space="preserve">tudent services such as tutoring, career counseling, access to case management, financial aid, </w:t>
            </w:r>
            <w:r w:rsidR="004423B7">
              <w:rPr>
                <w:rFonts w:cstheme="minorHAnsi"/>
                <w:sz w:val="24"/>
                <w:szCs w:val="24"/>
              </w:rPr>
              <w:t xml:space="preserve">mental health resources, </w:t>
            </w:r>
            <w:r w:rsidR="00FC3CD5" w:rsidRPr="004576BF">
              <w:rPr>
                <w:rFonts w:cstheme="minorHAnsi"/>
                <w:sz w:val="24"/>
                <w:szCs w:val="24"/>
              </w:rPr>
              <w:t xml:space="preserve">and job placement </w:t>
            </w:r>
            <w:r w:rsidR="004423B7">
              <w:rPr>
                <w:rFonts w:cstheme="minorHAnsi"/>
                <w:sz w:val="24"/>
                <w:szCs w:val="24"/>
              </w:rPr>
              <w:t xml:space="preserve">are </w:t>
            </w:r>
            <w:r w:rsidR="00FC3CD5" w:rsidRPr="004576BF">
              <w:rPr>
                <w:rFonts w:cstheme="minorHAnsi"/>
                <w:sz w:val="24"/>
                <w:szCs w:val="24"/>
              </w:rPr>
              <w:t xml:space="preserve">available to </w:t>
            </w:r>
            <w:r w:rsidR="006A25BD">
              <w:rPr>
                <w:rFonts w:cstheme="minorHAnsi"/>
                <w:sz w:val="24"/>
                <w:szCs w:val="24"/>
              </w:rPr>
              <w:t>all</w:t>
            </w:r>
            <w:r w:rsidR="004423B7">
              <w:rPr>
                <w:rFonts w:cstheme="minorHAnsi"/>
                <w:sz w:val="24"/>
                <w:szCs w:val="24"/>
              </w:rPr>
              <w:t xml:space="preserve"> learner</w:t>
            </w:r>
            <w:r w:rsidR="006A25BD">
              <w:rPr>
                <w:rFonts w:cstheme="minorHAnsi"/>
                <w:sz w:val="24"/>
                <w:szCs w:val="24"/>
              </w:rPr>
              <w:t>s</w:t>
            </w:r>
            <w:r w:rsidR="004423B7">
              <w:rPr>
                <w:rFonts w:cstheme="minorHAnsi"/>
                <w:sz w:val="24"/>
                <w:szCs w:val="24"/>
              </w:rPr>
              <w:t xml:space="preserve"> enrolled at our institution.</w:t>
            </w:r>
            <w:r w:rsidR="00FC3CD5" w:rsidRPr="004576B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4AB8B298" w14:textId="77777777" w:rsidR="00245CD1" w:rsidRDefault="00245CD1" w:rsidP="003E25B4"/>
        </w:tc>
        <w:tc>
          <w:tcPr>
            <w:tcW w:w="720" w:type="dxa"/>
          </w:tcPr>
          <w:p w14:paraId="2AA84464" w14:textId="77777777" w:rsidR="00245CD1" w:rsidRDefault="00245CD1" w:rsidP="003E25B4"/>
        </w:tc>
        <w:tc>
          <w:tcPr>
            <w:tcW w:w="805" w:type="dxa"/>
          </w:tcPr>
          <w:p w14:paraId="14547BA2" w14:textId="77777777" w:rsidR="00245CD1" w:rsidRDefault="00245CD1" w:rsidP="003E25B4"/>
        </w:tc>
      </w:tr>
      <w:tr w:rsidR="00483642" w14:paraId="0A292698" w14:textId="77777777" w:rsidTr="577789A3">
        <w:tc>
          <w:tcPr>
            <w:tcW w:w="7105" w:type="dxa"/>
            <w:shd w:val="clear" w:color="auto" w:fill="D1FEC6"/>
          </w:tcPr>
          <w:p w14:paraId="79FEF5E8" w14:textId="170B3DEE" w:rsidR="00483642" w:rsidRDefault="006A25BD" w:rsidP="004576B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</w:t>
            </w:r>
            <w:r w:rsidR="00342981">
              <w:rPr>
                <w:rFonts w:cstheme="minorHAnsi"/>
                <w:sz w:val="24"/>
                <w:szCs w:val="24"/>
              </w:rPr>
              <w:t>courses</w:t>
            </w:r>
            <w:r>
              <w:rPr>
                <w:rFonts w:cstheme="minorHAnsi"/>
                <w:sz w:val="24"/>
                <w:szCs w:val="24"/>
              </w:rPr>
              <w:t xml:space="preserve"> (noncredit and credit)</w:t>
            </w:r>
            <w:r w:rsidR="00342981">
              <w:rPr>
                <w:rFonts w:cstheme="minorHAnsi"/>
                <w:sz w:val="24"/>
                <w:szCs w:val="24"/>
              </w:rPr>
              <w:t xml:space="preserve"> are taught at times </w:t>
            </w:r>
            <w:r w:rsidR="00204BF9">
              <w:rPr>
                <w:rFonts w:cstheme="minorHAnsi"/>
                <w:sz w:val="24"/>
                <w:szCs w:val="24"/>
              </w:rPr>
              <w:t xml:space="preserve">and in formats </w:t>
            </w:r>
            <w:r w:rsidR="00766AD8">
              <w:rPr>
                <w:rFonts w:cstheme="minorHAnsi"/>
                <w:sz w:val="24"/>
                <w:szCs w:val="24"/>
              </w:rPr>
              <w:t>that offer</w:t>
            </w:r>
            <w:r w:rsidR="00BD7BD8">
              <w:rPr>
                <w:rFonts w:cstheme="minorHAnsi"/>
                <w:sz w:val="24"/>
                <w:szCs w:val="24"/>
              </w:rPr>
              <w:t xml:space="preserve"> flexib</w:t>
            </w:r>
            <w:r w:rsidR="00766AD8">
              <w:rPr>
                <w:rFonts w:cstheme="minorHAnsi"/>
                <w:sz w:val="24"/>
                <w:szCs w:val="24"/>
              </w:rPr>
              <w:t>ility</w:t>
            </w:r>
            <w:r w:rsidR="00BD7BD8">
              <w:rPr>
                <w:rFonts w:cstheme="minorHAnsi"/>
                <w:sz w:val="24"/>
                <w:szCs w:val="24"/>
              </w:rPr>
              <w:t xml:space="preserve"> for adult learners</w:t>
            </w:r>
            <w:r w:rsidR="00766AD8">
              <w:rPr>
                <w:rFonts w:cstheme="minorHAnsi"/>
                <w:sz w:val="24"/>
                <w:szCs w:val="24"/>
              </w:rPr>
              <w:t xml:space="preserve"> who are working and</w:t>
            </w:r>
            <w:r w:rsidR="003F5FB8">
              <w:rPr>
                <w:rFonts w:cstheme="minorHAnsi"/>
                <w:sz w:val="24"/>
                <w:szCs w:val="24"/>
              </w:rPr>
              <w:t>/or</w:t>
            </w:r>
            <w:r w:rsidR="00766AD8">
              <w:rPr>
                <w:rFonts w:cstheme="minorHAnsi"/>
                <w:sz w:val="24"/>
                <w:szCs w:val="24"/>
              </w:rPr>
              <w:t xml:space="preserve"> have family responsibilities.</w:t>
            </w:r>
            <w:r w:rsidR="00BD7BD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452CC795" w14:textId="77777777" w:rsidR="00483642" w:rsidRDefault="00483642" w:rsidP="003E25B4"/>
        </w:tc>
        <w:tc>
          <w:tcPr>
            <w:tcW w:w="720" w:type="dxa"/>
          </w:tcPr>
          <w:p w14:paraId="61F1742C" w14:textId="77777777" w:rsidR="00483642" w:rsidRDefault="00483642" w:rsidP="003E25B4"/>
        </w:tc>
        <w:tc>
          <w:tcPr>
            <w:tcW w:w="805" w:type="dxa"/>
          </w:tcPr>
          <w:p w14:paraId="07029C0C" w14:textId="77777777" w:rsidR="00483642" w:rsidRDefault="00483642" w:rsidP="003E25B4"/>
        </w:tc>
      </w:tr>
      <w:tr w:rsidR="00206A57" w14:paraId="31128C11" w14:textId="77777777" w:rsidTr="577789A3">
        <w:tc>
          <w:tcPr>
            <w:tcW w:w="7105" w:type="dxa"/>
            <w:shd w:val="clear" w:color="auto" w:fill="D1FEC6"/>
          </w:tcPr>
          <w:p w14:paraId="610459F7" w14:textId="2DB8433C" w:rsidR="00206A57" w:rsidRPr="00206A57" w:rsidRDefault="00206A57" w:rsidP="00206A57">
            <w:pPr>
              <w:spacing w:before="60" w:after="60"/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06A5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Totals</w:t>
            </w:r>
          </w:p>
        </w:tc>
        <w:tc>
          <w:tcPr>
            <w:tcW w:w="720" w:type="dxa"/>
          </w:tcPr>
          <w:p w14:paraId="7EFC5183" w14:textId="77777777" w:rsidR="00206A57" w:rsidRDefault="00206A57" w:rsidP="003E25B4"/>
        </w:tc>
        <w:tc>
          <w:tcPr>
            <w:tcW w:w="720" w:type="dxa"/>
          </w:tcPr>
          <w:p w14:paraId="30D0074D" w14:textId="77777777" w:rsidR="00206A57" w:rsidRDefault="00206A57" w:rsidP="003E25B4"/>
        </w:tc>
        <w:tc>
          <w:tcPr>
            <w:tcW w:w="805" w:type="dxa"/>
          </w:tcPr>
          <w:p w14:paraId="37B4E06D" w14:textId="77777777" w:rsidR="00206A57" w:rsidRDefault="00206A57" w:rsidP="003E25B4"/>
        </w:tc>
      </w:tr>
    </w:tbl>
    <w:p w14:paraId="0EF66A93" w14:textId="0913EEFA" w:rsidR="00245CD1" w:rsidRDefault="00573B7B" w:rsidP="00245CD1">
      <w:r>
        <w:t xml:space="preserve"> </w:t>
      </w:r>
    </w:p>
    <w:sectPr w:rsidR="00245CD1" w:rsidSect="00590884">
      <w:footerReference w:type="default" r:id="rId13"/>
      <w:pgSz w:w="12240" w:h="15840"/>
      <w:pgMar w:top="1440" w:right="1440" w:bottom="1440" w:left="1440" w:header="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D44D" w14:textId="77777777" w:rsidR="0009259E" w:rsidRDefault="0009259E" w:rsidP="00590884">
      <w:pPr>
        <w:spacing w:after="0" w:line="240" w:lineRule="auto"/>
      </w:pPr>
      <w:r>
        <w:separator/>
      </w:r>
    </w:p>
  </w:endnote>
  <w:endnote w:type="continuationSeparator" w:id="0">
    <w:p w14:paraId="6F231646" w14:textId="77777777" w:rsidR="0009259E" w:rsidRDefault="0009259E" w:rsidP="0059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ED6A" w14:textId="28DD6960" w:rsidR="00590884" w:rsidRDefault="00590884" w:rsidP="00D622B4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C35FA" wp14:editId="23844FA5">
          <wp:simplePos x="0" y="0"/>
          <wp:positionH relativeFrom="margin">
            <wp:posOffset>166719</wp:posOffset>
          </wp:positionH>
          <wp:positionV relativeFrom="paragraph">
            <wp:posOffset>12065</wp:posOffset>
          </wp:positionV>
          <wp:extent cx="693866" cy="27615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866" cy="276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2B4">
      <w:rPr>
        <w:noProof/>
      </w:rPr>
      <w:drawing>
        <wp:inline distT="0" distB="0" distL="0" distR="0" wp14:anchorId="51205161" wp14:editId="0F4B7EED">
          <wp:extent cx="941471" cy="323630"/>
          <wp:effectExtent l="0" t="0" r="0" b="63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BAAAB50C-4350-6A1C-3E19-9A2DB21C70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BAAAB50C-4350-6A1C-3E19-9A2DB21C70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71" cy="32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B0DB" w14:textId="77777777" w:rsidR="0009259E" w:rsidRDefault="0009259E" w:rsidP="00590884">
      <w:pPr>
        <w:spacing w:after="0" w:line="240" w:lineRule="auto"/>
      </w:pPr>
      <w:r>
        <w:separator/>
      </w:r>
    </w:p>
  </w:footnote>
  <w:footnote w:type="continuationSeparator" w:id="0">
    <w:p w14:paraId="588C2CAF" w14:textId="77777777" w:rsidR="0009259E" w:rsidRDefault="0009259E" w:rsidP="0059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78B7"/>
    <w:multiLevelType w:val="hybridMultilevel"/>
    <w:tmpl w:val="3CE6BF50"/>
    <w:lvl w:ilvl="0" w:tplc="9FE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95A68"/>
    <w:multiLevelType w:val="hybridMultilevel"/>
    <w:tmpl w:val="0444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3282">
    <w:abstractNumId w:val="0"/>
  </w:num>
  <w:num w:numId="2" w16cid:durableId="136841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1"/>
    <w:rsid w:val="00014AE8"/>
    <w:rsid w:val="00042491"/>
    <w:rsid w:val="0004632B"/>
    <w:rsid w:val="000708AC"/>
    <w:rsid w:val="00090DF0"/>
    <w:rsid w:val="0009259E"/>
    <w:rsid w:val="000C7464"/>
    <w:rsid w:val="000F0B2D"/>
    <w:rsid w:val="001555AA"/>
    <w:rsid w:val="00204BF9"/>
    <w:rsid w:val="00206A57"/>
    <w:rsid w:val="002137EE"/>
    <w:rsid w:val="00245CD1"/>
    <w:rsid w:val="002623BC"/>
    <w:rsid w:val="00312A32"/>
    <w:rsid w:val="003228C5"/>
    <w:rsid w:val="00342981"/>
    <w:rsid w:val="00371ED6"/>
    <w:rsid w:val="00386463"/>
    <w:rsid w:val="003A4622"/>
    <w:rsid w:val="003D02A7"/>
    <w:rsid w:val="003F5FB8"/>
    <w:rsid w:val="004326A8"/>
    <w:rsid w:val="00433784"/>
    <w:rsid w:val="00436843"/>
    <w:rsid w:val="004423B7"/>
    <w:rsid w:val="004576BF"/>
    <w:rsid w:val="00483642"/>
    <w:rsid w:val="004970F7"/>
    <w:rsid w:val="00497F2C"/>
    <w:rsid w:val="004C730F"/>
    <w:rsid w:val="0052435B"/>
    <w:rsid w:val="00543FE1"/>
    <w:rsid w:val="00555FA6"/>
    <w:rsid w:val="00573B7B"/>
    <w:rsid w:val="00590884"/>
    <w:rsid w:val="005C3F5B"/>
    <w:rsid w:val="005D5635"/>
    <w:rsid w:val="005F31CF"/>
    <w:rsid w:val="0065143C"/>
    <w:rsid w:val="006A25BD"/>
    <w:rsid w:val="006B120A"/>
    <w:rsid w:val="006C0E4F"/>
    <w:rsid w:val="0072371B"/>
    <w:rsid w:val="007310C8"/>
    <w:rsid w:val="00766AD8"/>
    <w:rsid w:val="00776C33"/>
    <w:rsid w:val="007B7E91"/>
    <w:rsid w:val="007C6D5F"/>
    <w:rsid w:val="00834C5D"/>
    <w:rsid w:val="00864D66"/>
    <w:rsid w:val="00885BE6"/>
    <w:rsid w:val="00886742"/>
    <w:rsid w:val="008B0A1F"/>
    <w:rsid w:val="008B7143"/>
    <w:rsid w:val="008D279E"/>
    <w:rsid w:val="008D4EED"/>
    <w:rsid w:val="008E7B06"/>
    <w:rsid w:val="0097012E"/>
    <w:rsid w:val="00985369"/>
    <w:rsid w:val="00A343E4"/>
    <w:rsid w:val="00A526BD"/>
    <w:rsid w:val="00A8598F"/>
    <w:rsid w:val="00AB569A"/>
    <w:rsid w:val="00AD49FF"/>
    <w:rsid w:val="00AE0021"/>
    <w:rsid w:val="00AE26E6"/>
    <w:rsid w:val="00B17481"/>
    <w:rsid w:val="00B213E4"/>
    <w:rsid w:val="00BD7BD8"/>
    <w:rsid w:val="00C03339"/>
    <w:rsid w:val="00CB0F50"/>
    <w:rsid w:val="00D40C27"/>
    <w:rsid w:val="00D622B4"/>
    <w:rsid w:val="00D71062"/>
    <w:rsid w:val="00D929E0"/>
    <w:rsid w:val="00DC51E7"/>
    <w:rsid w:val="00DD757A"/>
    <w:rsid w:val="00F121FD"/>
    <w:rsid w:val="00F60539"/>
    <w:rsid w:val="00F62B35"/>
    <w:rsid w:val="00FC3CD5"/>
    <w:rsid w:val="57778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71086"/>
  <w15:chartTrackingRefBased/>
  <w15:docId w15:val="{A3CE92C2-31A4-4726-9760-8872C843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C3F5B"/>
  </w:style>
  <w:style w:type="paragraph" w:styleId="ListParagraph">
    <w:name w:val="List Paragraph"/>
    <w:basedOn w:val="Normal"/>
    <w:uiPriority w:val="34"/>
    <w:qFormat/>
    <w:rsid w:val="008D4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84"/>
  </w:style>
  <w:style w:type="paragraph" w:styleId="Footer">
    <w:name w:val="footer"/>
    <w:basedOn w:val="Normal"/>
    <w:link w:val="FooterChar"/>
    <w:uiPriority w:val="99"/>
    <w:unhideWhenUsed/>
    <w:rsid w:val="0059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BE8A5-68F2-4E02-BF91-254FEDBD37EA}"/>
</file>

<file path=customXml/itemProps2.xml><?xml version="1.0" encoding="utf-8"?>
<ds:datastoreItem xmlns:ds="http://schemas.openxmlformats.org/officeDocument/2006/customXml" ds:itemID="{04E850AA-FD45-4680-A4EB-8777654F2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24CA40-A580-445D-A9B0-C7428E03F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Cotner</dc:creator>
  <cp:keywords/>
  <dc:description/>
  <cp:lastModifiedBy>Hope Cotner</cp:lastModifiedBy>
  <cp:revision>2</cp:revision>
  <cp:lastPrinted>2022-10-17T22:03:00Z</cp:lastPrinted>
  <dcterms:created xsi:type="dcterms:W3CDTF">2025-06-26T22:28:00Z</dcterms:created>
  <dcterms:modified xsi:type="dcterms:W3CDTF">2025-06-26T22:28:00Z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